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14500" cy="1619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Commission Disbursement Authorization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Closing Date: _____________________ Closer Name: 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Title Co. Fax:____________________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Property Address: ___________________________________________________________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Seller’s Name: _____________________________________________________________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Buyer’s Name: _____________________________________________________________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Trend Real Estate Agent Name: 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Representing: ____  Buyer ___ Seller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Purchase Price: $__________________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Amount of Commission: $_________________________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Transaction Fee $________to be Paid By ____ Buyer ___ Seller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*From the Commission, you are authorized to disburse as follows: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$________ Payable to Trend Realty; Mail to: 205 N Orange #203 Sarasota Fl 34236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$________ Made payable to 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$________ Made payable to _______________________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$________ Made payable to 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* IMPORTANT MESSAGE FOR THE CLOSER FOR THIS PROPERTY: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ALL CHECKS CAN BE GIVEN TO THE AGENT WORKING FOR TREND REALTY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IF THIS FORM IS NOT SIGNED BY ONE OF THE AUTHORIZED SIGNERS LISTED BELOW, 100% OF THE COMMISSION DUE TO TREND REAL ESTATE MUST BE MADE PAYABLE TO TREND REAL ESTATE.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SALES AGENTS DO NOT HAVE AUTHORIZATION TO MODIFY THIS FORM IN ANY WAY. 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IF YOUR AMOUNTS DIFFER FROM THIS AUTHORIZATION FORM, YOU MUST OBTAIN A REVISED AUTHORIZATION FORM FROM THE OFFICE. 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ALL SCRIVENER AND/OR DOC FEES MUST BE DEDUCTED FROM THE SALES AGENTS CHECK (NOT THE TREND RE CHECK)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TREND REALTY’S CHECK MUST EQUAL THE DOLLAR AMOUNT LISTED ABOVE.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                          _______________________________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AUTHORIZED BROKER: JOSHUA W BLANK                  DATE: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